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jc w:val="center"/>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ANEXO II</w:t>
      </w:r>
    </w:p>
    <w:p>
      <w:pPr>
        <w:pStyle w:val="Normal"/>
        <w:spacing w:lineRule="auto" w:line="276" w:before="0" w:after="0"/>
        <w:jc w:val="center"/>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FUNDAÇÃO UNIVERSIDADE FEDERAL DE PELOTAS</w:t>
      </w:r>
    </w:p>
    <w:p>
      <w:pPr>
        <w:pStyle w:val="Normal"/>
        <w:spacing w:lineRule="auto" w:line="276" w:before="0" w:after="0"/>
        <w:jc w:val="center"/>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MINUTA DA ATA DE REGISTRO DE PREÇO</w:t>
      </w:r>
    </w:p>
    <w:p>
      <w:pPr>
        <w:pStyle w:val="Normal"/>
        <w:spacing w:lineRule="auto" w:line="276" w:before="0" w:after="0"/>
        <w:jc w:val="center"/>
        <w:rPr>
          <w:rFonts w:ascii="Times New Roman" w:hAnsi="Times New Roman" w:eastAsia="Times New Roman" w:cs="Times New Roman"/>
          <w:b/>
          <w:bCs/>
          <w:caps/>
          <w:sz w:val="24"/>
          <w:szCs w:val="24"/>
          <w:lang w:eastAsia="pt-BR"/>
        </w:rPr>
      </w:pPr>
      <w:r>
        <w:rPr>
          <w:rFonts w:eastAsia="Times New Roman" w:cs="Times New Roman" w:ascii="Times New Roman" w:hAnsi="Times New Roman"/>
          <w:b/>
          <w:bCs/>
          <w:caps/>
          <w:color w:val="000000"/>
          <w:sz w:val="24"/>
          <w:szCs w:val="24"/>
          <w:lang w:eastAsia="pt-BR"/>
        </w:rPr>
        <w:t>PREGÃO ELETRÔNICO Nº</w:t>
      </w:r>
      <w:r>
        <w:rPr>
          <w:rFonts w:eastAsia="Times New Roman" w:cs="Times New Roman" w:ascii="Times New Roman" w:hAnsi="Times New Roman"/>
          <w:b/>
          <w:bCs/>
          <w:caps/>
          <w:color w:val="auto"/>
          <w:sz w:val="24"/>
          <w:szCs w:val="24"/>
          <w:shd w:fill="auto" w:val="clear"/>
          <w:lang w:eastAsia="pt-BR"/>
        </w:rPr>
        <w:t>.</w:t>
      </w:r>
      <w:r>
        <w:rPr>
          <w:rFonts w:eastAsia="Times New Roman" w:cs="Times New Roman" w:ascii="Times New Roman" w:hAnsi="Times New Roman"/>
          <w:b/>
          <w:bCs/>
          <w:caps/>
          <w:color w:val="auto"/>
          <w:sz w:val="24"/>
          <w:szCs w:val="24"/>
          <w:shd w:fill="auto" w:val="clear"/>
          <w:lang w:eastAsia="pt-BR"/>
        </w:rPr>
        <w:t>90019/2026</w:t>
      </w:r>
    </w:p>
    <w:p>
      <w:pPr>
        <w:pStyle w:val="Normal"/>
        <w:spacing w:lineRule="auto" w:line="276" w:before="0" w:after="0"/>
        <w:jc w:val="center"/>
        <w:rPr>
          <w:color w:val="auto"/>
          <w:highlight w:val="none"/>
          <w:shd w:fill="auto" w:val="clear"/>
        </w:rPr>
      </w:pPr>
      <w:r>
        <w:rPr>
          <w:rFonts w:eastAsia="Times New Roman" w:cs="Times New Roman" w:ascii="Times New Roman" w:hAnsi="Times New Roman"/>
          <w:b/>
          <w:bCs/>
          <w:caps/>
          <w:color w:val="auto"/>
          <w:sz w:val="24"/>
          <w:szCs w:val="24"/>
          <w:shd w:fill="auto" w:val="clear"/>
          <w:lang w:eastAsia="pt-BR"/>
        </w:rPr>
        <w:t>PROCESSO Nº </w:t>
      </w:r>
      <w:r>
        <w:rPr>
          <w:rFonts w:eastAsia="Times New Roman" w:cs="Times New Roman" w:ascii="Times New Roman" w:hAnsi="Times New Roman"/>
          <w:b/>
          <w:bCs/>
          <w:caps/>
          <w:color w:val="auto"/>
          <w:sz w:val="24"/>
          <w:szCs w:val="24"/>
          <w:shd w:fill="auto" w:val="clear"/>
          <w:lang w:eastAsia="pt-BR"/>
        </w:rPr>
        <w:t>23110.006825/2026-33</w:t>
      </w:r>
    </w:p>
    <w:p>
      <w:pPr>
        <w:pStyle w:val="Normal"/>
        <w:spacing w:lineRule="auto" w:line="276" w:before="0" w:after="0"/>
        <w:jc w:val="center"/>
        <w:rPr>
          <w:rFonts w:ascii="Times New Roman" w:hAnsi="Times New Roman" w:eastAsia="Times New Roman" w:cs="Times New Roman"/>
          <w:b/>
          <w:bCs/>
          <w:caps/>
          <w:color w:val="auto"/>
          <w:sz w:val="24"/>
          <w:szCs w:val="24"/>
          <w:highlight w:val="none"/>
          <w:shd w:fill="auto" w:val="clear"/>
          <w:lang w:eastAsia="pt-BR"/>
        </w:rPr>
      </w:pPr>
      <w:r>
        <w:rPr>
          <w:rFonts w:eastAsia="Times New Roman" w:cs="Times New Roman" w:ascii="Times New Roman" w:hAnsi="Times New Roman"/>
          <w:b/>
          <w:bCs/>
          <w:caps/>
          <w:color w:val="auto"/>
          <w:sz w:val="24"/>
          <w:szCs w:val="24"/>
          <w:shd w:fill="auto" w:val="clear"/>
          <w:lang w:eastAsia="pt-BR"/>
        </w:rPr>
        <w:t>Contratação 31/2026</w:t>
      </w:r>
    </w:p>
    <w:p>
      <w:pPr>
        <w:pStyle w:val="Normal"/>
        <w:spacing w:lineRule="auto" w:line="276" w:beforeAutospacing="1" w:afterAutospacing="1"/>
        <w:jc w:val="center"/>
        <w:rPr>
          <w:color w:val="auto"/>
        </w:rPr>
      </w:pPr>
      <w:r>
        <w:rPr>
          <w:rFonts w:eastAsia="Times New Roman" w:cs="Times New Roman" w:ascii="Times New Roman" w:hAnsi="Times New Roman"/>
          <w:b/>
          <w:bCs/>
          <w:caps/>
          <w:color w:val="auto"/>
          <w:sz w:val="24"/>
          <w:szCs w:val="24"/>
          <w:lang w:eastAsia="pt-BR"/>
        </w:rPr>
        <w:t> </w:t>
      </w:r>
    </w:p>
    <w:p>
      <w:pPr>
        <w:pStyle w:val="Normal"/>
        <w:spacing w:lineRule="auto" w:line="276" w:before="120" w:after="120"/>
        <w:ind w:firstLine="708" w:end="142"/>
        <w:jc w:val="both"/>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t>A Fundação Universidade Federal de Pelotas, situada na Rua Gomes Carneiro nº 01, Pelotas / RS, inscrita no CNPJ sob o nº 92.242.080/0001-00, representada pela Reitora Ursula Rosa da Silva, nomeada pelo Decreto de 20 de dezembro de 2024, publicado em 23/12/2024 no D.O.U., seção 02, considerando o julgamento da licitação n</w:t>
      </w:r>
      <w:r>
        <w:rPr>
          <w:rFonts w:eastAsia="Times New Roman" w:cs="Times New Roman" w:ascii="Times New Roman" w:hAnsi="Times New Roman"/>
          <w:sz w:val="24"/>
          <w:szCs w:val="24"/>
          <w:shd w:fill="auto" w:val="clear"/>
          <w:lang w:eastAsia="pt-BR"/>
        </w:rPr>
        <w:t xml:space="preserve">a modalidade de pregão, na forma eletrônica, para REGISTRO DE PREÇOS nº </w:t>
      </w:r>
      <w:r>
        <w:rPr>
          <w:rFonts w:eastAsia="Times New Roman" w:cs="Times New Roman" w:ascii="Times New Roman" w:hAnsi="Times New Roman"/>
          <w:sz w:val="24"/>
          <w:szCs w:val="24"/>
          <w:shd w:fill="auto" w:val="clear"/>
          <w:lang w:eastAsia="pt-BR"/>
        </w:rPr>
        <w:t>90019/2026</w:t>
      </w:r>
      <w:r>
        <w:rPr>
          <w:rFonts w:eastAsia="Times New Roman" w:cs="Times New Roman" w:ascii="Times New Roman" w:hAnsi="Times New Roman"/>
          <w:sz w:val="24"/>
          <w:szCs w:val="24"/>
          <w:shd w:fill="auto" w:val="clear"/>
          <w:lang w:eastAsia="pt-BR"/>
        </w:rPr>
        <w:t>,</w:t>
      </w:r>
      <w:r>
        <w:rPr>
          <w:rFonts w:eastAsia="Times New Roman" w:cs="Times New Roman" w:ascii="Times New Roman" w:hAnsi="Times New Roman"/>
          <w:sz w:val="24"/>
          <w:szCs w:val="24"/>
          <w:lang w:eastAsia="pt-BR"/>
        </w:rPr>
        <w:t xml:space="preserve"> RESOLVE registrar os preços da(s)  empresa(s) indicada(s) e qualificada(s) nesta ATA, de acordo com a classificação por ela(s) alcançada(s) e na(s)  quantidade(s)  cotada(s), atendendo as condições previstas no edital, sujeitando-se as partes às normas constantes na Lei Federal nº14.133/2023 e Decreto nº 11.462/2023, e em conformidade com as disposições a seguir:</w:t>
      </w:r>
    </w:p>
    <w:p>
      <w:pPr>
        <w:pStyle w:val="Normal"/>
        <w:spacing w:lineRule="auto" w:line="276" w:before="120" w:after="120"/>
        <w:ind w:firstLine="1418" w:start="120"/>
        <w:jc w:val="both"/>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t> </w:t>
      </w:r>
    </w:p>
    <w:p>
      <w:pPr>
        <w:pStyle w:val="ListParagraph"/>
        <w:numPr>
          <w:ilvl w:val="0"/>
          <w:numId w:val="0"/>
        </w:numPr>
        <w:shd w:val="clear" w:color="auto" w:fill="E6E6E6"/>
        <w:spacing w:lineRule="auto" w:line="276" w:before="120" w:after="120"/>
        <w:ind w:hanging="0" w:start="0" w:end="120"/>
        <w:contextualSpacing/>
        <w:jc w:val="both"/>
        <w:rPr>
          <w:rFonts w:ascii="Times New Roman" w:hAnsi="Times New Roman" w:eastAsia="Times New Roman" w:cs="Times New Roman"/>
          <w:b/>
          <w:bCs/>
          <w:caps/>
          <w:sz w:val="24"/>
          <w:szCs w:val="24"/>
          <w:lang w:eastAsia="pt-BR"/>
        </w:rPr>
      </w:pPr>
      <w:r>
        <w:rPr>
          <w:rFonts w:eastAsia="Times New Roman" w:cs="Times New Roman" w:ascii="Times New Roman" w:hAnsi="Times New Roman"/>
          <w:b/>
          <w:bCs/>
          <w:caps/>
          <w:sz w:val="24"/>
          <w:szCs w:val="24"/>
          <w:lang w:eastAsia="pt-BR"/>
        </w:rPr>
        <w:t xml:space="preserve">1. </w:t>
      </w:r>
      <w:r>
        <w:rPr>
          <w:rFonts w:eastAsia="Times New Roman" w:cs="Times New Roman" w:ascii="Times New Roman" w:hAnsi="Times New Roman"/>
          <w:b/>
          <w:bCs/>
          <w:caps/>
          <w:sz w:val="24"/>
          <w:szCs w:val="24"/>
          <w:lang w:eastAsia="pt-BR"/>
        </w:rPr>
        <w:t>DO OBJETO</w:t>
      </w:r>
    </w:p>
    <w:p>
      <w:pPr>
        <w:pStyle w:val="Normal"/>
        <w:spacing w:lineRule="auto" w:line="276" w:before="120" w:after="120"/>
        <w:ind w:end="142"/>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sz w:val="24"/>
          <w:szCs w:val="24"/>
          <w:lang w:eastAsia="pt-BR"/>
        </w:rPr>
        <w:t>1.1 A presente Ata tem por objeto o registro de preços para a eventual Aquisição de Peças para Manutenção de Equipamentos Odontológicos especificado no Termo de Referência, anexo I do edital de Pregão nº </w:t>
      </w:r>
      <w:r>
        <w:rPr>
          <w:rFonts w:eastAsia="Times New Roman" w:cs="Times New Roman" w:ascii="Times New Roman" w:hAnsi="Times New Roman"/>
          <w:sz w:val="24"/>
          <w:szCs w:val="24"/>
          <w:lang w:eastAsia="pt-BR"/>
        </w:rPr>
        <w:t>90019/2026</w:t>
      </w:r>
      <w:r>
        <w:rPr>
          <w:rFonts w:eastAsia="Times New Roman" w:cs="Times New Roman" w:ascii="Times New Roman" w:hAnsi="Times New Roman"/>
          <w:sz w:val="24"/>
          <w:szCs w:val="24"/>
          <w:lang w:eastAsia="pt-BR"/>
        </w:rPr>
        <w:t xml:space="preserve"> que é parte integrante desta Ata, assim </w:t>
      </w:r>
      <w:r>
        <w:rPr>
          <w:rFonts w:eastAsia="Times New Roman" w:cs="Times New Roman" w:ascii="Times New Roman" w:hAnsi="Times New Roman"/>
          <w:color w:val="000000"/>
          <w:sz w:val="24"/>
          <w:szCs w:val="24"/>
          <w:lang w:eastAsia="pt-BR"/>
        </w:rPr>
        <w:t>como a proposta vencedora, independentemente de transcrição.</w:t>
      </w:r>
    </w:p>
    <w:p>
      <w:pPr>
        <w:pStyle w:val="Normal"/>
        <w:spacing w:lineRule="auto" w:line="276" w:before="120" w:after="120"/>
        <w:ind w:firstLine="1418"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2. DOS PREÇOS, ESPECIFICAÇÕES E QUANTITATIVOS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2.1. O preço registrado, as especificações do objeto, a quantidade, fornecedor(es) e as demais condições ofertadas na(s) proposta(s) são as que seguem:</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bl>
      <w:tblPr>
        <w:tblW w:w="8505" w:type="dxa"/>
        <w:jc w:val="start"/>
        <w:tblInd w:w="-1" w:type="dxa"/>
        <w:tblLayout w:type="fixed"/>
        <w:tblCellMar>
          <w:top w:w="0" w:type="dxa"/>
          <w:start w:w="22" w:type="dxa"/>
          <w:bottom w:w="0" w:type="dxa"/>
          <w:end w:w="22" w:type="dxa"/>
        </w:tblCellMar>
        <w:tblLook w:val="04a0" w:firstRow="1" w:noVBand="1" w:lastRow="0" w:firstColumn="1" w:lastColumn="0" w:noHBand="0"/>
      </w:tblPr>
      <w:tblGrid>
        <w:gridCol w:w="840"/>
        <w:gridCol w:w="3129"/>
        <w:gridCol w:w="1134"/>
        <w:gridCol w:w="1250"/>
        <w:gridCol w:w="1349"/>
        <w:gridCol w:w="803"/>
      </w:tblGrid>
      <w:tr>
        <w:trPr>
          <w:trHeight w:val="756" w:hRule="atLeast"/>
        </w:trPr>
        <w:tc>
          <w:tcPr>
            <w:tcW w:w="8505" w:type="dxa"/>
            <w:gridSpan w:val="6"/>
            <w:tcBorders>
              <w:top w:val="outset" w:sz="6" w:space="0" w:color="000000"/>
              <w:start w:val="outset" w:sz="6" w:space="0" w:color="000000"/>
              <w:bottom w:val="outset" w:sz="6" w:space="0" w:color="000000"/>
              <w:end w:val="outset" w:sz="6" w:space="0" w:color="000000"/>
            </w:tcBorders>
            <w:vAlign w:val="center"/>
          </w:tcPr>
          <w:p>
            <w:pPr>
              <w:pStyle w:val="Normal"/>
              <w:spacing w:lineRule="auto" w:line="240" w:before="0" w:after="0"/>
              <w:rPr>
                <w:rFonts w:ascii="Calibri" w:hAnsi="Calibri" w:cs="Calibri"/>
                <w:color w:val="000000"/>
                <w:sz w:val="24"/>
                <w:szCs w:val="24"/>
              </w:rPr>
            </w:pPr>
            <w:r>
              <w:rPr>
                <w:rFonts w:cs="Calibri" w:ascii="Calibri" w:hAnsi="Calibri"/>
                <w:color w:val="000000"/>
                <w:sz w:val="24"/>
                <w:szCs w:val="24"/>
              </w:rPr>
            </w:r>
          </w:p>
          <w:p>
            <w:pPr>
              <w:pStyle w:val="Normal"/>
              <w:spacing w:lineRule="auto" w:line="240" w:before="0" w:after="0"/>
              <w:jc w:val="both"/>
              <w:rPr>
                <w:rFonts w:ascii="Times New Roman" w:hAnsi="Times New Roman" w:eastAsia="Times New Roman" w:cs="Times New Roman"/>
                <w:color w:val="000000"/>
                <w:sz w:val="24"/>
                <w:szCs w:val="24"/>
                <w:lang w:eastAsia="pt-BR"/>
              </w:rPr>
            </w:pPr>
            <w:r>
              <w:rPr>
                <w:rFonts w:cs="Calibri" w:ascii="Calibri" w:hAnsi="Calibri"/>
                <w:color w:val="000000"/>
                <w:sz w:val="24"/>
                <w:szCs w:val="24"/>
              </w:rPr>
              <w:t xml:space="preserve"> </w:t>
            </w:r>
            <w:r>
              <w:rPr>
                <w:rFonts w:cs="Calibri" w:ascii="Calibri" w:hAnsi="Calibri"/>
                <w:color w:val="000000"/>
                <w:sz w:val="24"/>
                <w:szCs w:val="24"/>
                <w:highlight w:val="red"/>
              </w:rPr>
              <w:t>Dados do fornecedor – não inclui dados pessoais, como RG e CPF</w:t>
            </w:r>
          </w:p>
          <w:p>
            <w:pPr>
              <w:pStyle w:val="Normal"/>
              <w:spacing w:lineRule="auto" w:line="276" w:before="0"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r>
      <w:tr>
        <w:trPr>
          <w:trHeight w:val="1234" w:hRule="atLeast"/>
        </w:trPr>
        <w:tc>
          <w:tcPr>
            <w:tcW w:w="84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Item do edital </w:t>
            </w:r>
          </w:p>
        </w:tc>
        <w:tc>
          <w:tcPr>
            <w:tcW w:w="312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Especificação</w:t>
            </w:r>
          </w:p>
        </w:tc>
        <w:tc>
          <w:tcPr>
            <w:tcW w:w="1134"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0"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Marca e Modelo</w:t>
            </w:r>
          </w:p>
        </w:tc>
        <w:tc>
          <w:tcPr>
            <w:tcW w:w="125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Unidade de medida</w:t>
            </w:r>
          </w:p>
        </w:tc>
        <w:tc>
          <w:tcPr>
            <w:tcW w:w="134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Quantidade</w:t>
            </w:r>
          </w:p>
        </w:tc>
        <w:tc>
          <w:tcPr>
            <w:tcW w:w="803"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Valor Unitário</w:t>
            </w:r>
          </w:p>
        </w:tc>
      </w:tr>
      <w:tr>
        <w:trPr>
          <w:trHeight w:val="398" w:hRule="atLeast"/>
        </w:trPr>
        <w:tc>
          <w:tcPr>
            <w:tcW w:w="84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312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1134"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125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134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803"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r>
    </w:tbl>
    <w:p>
      <w:pPr>
        <w:pStyle w:val="Normal"/>
        <w:shd w:val="clear" w:color="auto" w:fill="E6E6E6"/>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3. DOS ÓRGÃOS PARTICIPANTES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3.1. O órgão gerenciador será a Fundação Universidade Federal de Pelotas.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3.2. Além do gerenciador, não há órgãos e entidades públicas participantes do registro de preços:</w:t>
      </w:r>
    </w:p>
    <w:p>
      <w:pPr>
        <w:pStyle w:val="Normal"/>
        <w:spacing w:lineRule="auto" w:line="276" w:before="120" w:after="120"/>
        <w:ind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 DA ADESÃO À ATA DE REGISTRO DE PREÇOS </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4.1.1. apresentação de justificativa da vantagem da adesão, inclusive em situações de provável desabastecimento ou descontinuidade de serviço público;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4.1.2. demonstração de que os valores registrados estão compatíveis com os valores praticados pelo mercado na forma do art. 23 da Lei nº 14.133, de 2021; e</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4.1.3.  consulta e aceitação prévias do órgão ou da entidade gerenciadora e do fornecedor.</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4.2. A autorização do órgão ou entidade gerenciadora apenas será realizada após a aceitação da adesão pelo fornecedor.</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4.2.1. O órgão ou entidade gerenciadora poderá rejeitar adesões caso elas possam acarretar prejuízo à execução de seus próprios contratos ou à sua capacidade de gerenciamento.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4.3. Após a autorização do órgão ou da entidade gerenciadora, o órgão ou entidade não participante deverá efetivar a aquisição ou a contratação solicitada em até noventa dias, observado o prazo de vigência da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4.5. O órgão ou a entidade poderá aderir a item da ata de registro de preços da qual seja integrante, na qualidade de não participante, para aqueles itens para os quais não tenha quantitativo registrado, observados os requisitos do item 4.1.</w:t>
      </w:r>
    </w:p>
    <w:p>
      <w:pPr>
        <w:pStyle w:val="Normal"/>
        <w:spacing w:lineRule="auto" w:line="276" w:beforeAutospacing="1" w:afterAutospacing="1"/>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Dos limites para as adesões</w:t>
      </w:r>
    </w:p>
    <w:p>
      <w:pPr>
        <w:pStyle w:val="Normal"/>
        <w:spacing w:lineRule="auto" w:line="276"/>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4.9.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pPr>
        <w:pStyle w:val="Normal"/>
        <w:spacing w:lineRule="auto" w:line="276" w:beforeAutospacing="1" w:afterAutospacing="1"/>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Vedação a acréscimo de quantitativos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4.10. É vedado efetuar acréscimos nos quantitativos fixados na ata de registro de preços.</w:t>
      </w:r>
    </w:p>
    <w:p>
      <w:pPr>
        <w:pStyle w:val="Normal"/>
        <w:spacing w:lineRule="auto" w:line="276" w:before="120" w:after="120"/>
        <w:ind w:firstLine="1418"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5. VALIDADE DA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 Na formalização do contrato ou do instrumento substituto deverá haver a indicação da disponibilidade dos créditos orçamentários respectivos.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5.2.1. O instrumento contratual de que trata o item 5.2 deverá ser assinado no prazo de validade da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5.3. Os contratos decorrentes do sistema de registro de preços poderão ser alterados, observado o art. 124 da Lei nº 14.133, de 2021.</w:t>
      </w:r>
    </w:p>
    <w:p>
      <w:pPr>
        <w:pStyle w:val="Normal"/>
        <w:tabs>
          <w:tab w:val="clear" w:pos="708"/>
          <w:tab w:val="left" w:pos="567" w:leader="none"/>
        </w:tabs>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 Após a homologação da licitação, deverão ser observadas as seguintes condições para formalização da ata de registro de preços: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5.4.1. Serão registrados na ata os preços e os quantitativos do adjudicatário, devendo ser observada a possibilidade de o licitante oferecer ou não proposta em quantitativo inferior ao máximo previsto no edital e se obrigar nos limites dela;</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5.4.2. Será incluído na ata, na forma de anexo, o registro dos licitantes ou dos fornecedores que:</w:t>
      </w:r>
    </w:p>
    <w:p>
      <w:pPr>
        <w:pStyle w:val="Normal"/>
        <w:spacing w:lineRule="auto" w:line="276" w:before="120" w:after="120"/>
        <w:ind w:start="12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5.4.2.1. Aceitarem cotar os bens, as obras ou os serviços com preços iguais aos do adjudicatário, observada a classificação da licitação; e</w:t>
      </w:r>
    </w:p>
    <w:p>
      <w:pPr>
        <w:pStyle w:val="Normal"/>
        <w:spacing w:lineRule="auto" w:line="276" w:before="120" w:after="120"/>
        <w:ind w:start="12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5.4.2.2. Mantiverem sua proposta original.</w:t>
      </w:r>
    </w:p>
    <w:p>
      <w:pPr>
        <w:pStyle w:val="Normal"/>
        <w:spacing w:lineRule="auto" w:line="276" w:before="120" w:after="120"/>
        <w:ind w:start="709"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5.4.3. Será respeitada, nas contratações, a ordem de classificação dos licitantes ou dos fornecedores registrados na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5.5. O registro a que se refere o item 5.4.2 tem por objetivo a formação de cadastro de reserva para o caso de impossibilidade de atendimento pelo signatário da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5.6. Para fins da ordem de classificação, os licitantes ou fornecedores que aceitarem reduzir suas propostas para o preço do adjudicatário antecederão aqueles que mantiverem sua proposta original.</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5.7.  habilitação dos licitantes que comporão o cadastro de reserva a que se refere o item 5.4.2.2 somente será efetuada quando houver necessidade de contratação dos licitantes remanescentes, nas seguintes hipóteses:</w:t>
      </w:r>
    </w:p>
    <w:p>
      <w:pPr>
        <w:pStyle w:val="itemnivel3"/>
        <w:spacing w:lineRule="auto" w:line="276" w:beforeAutospacing="0" w:before="120" w:afterAutospacing="0" w:after="120"/>
        <w:ind w:start="600" w:end="120"/>
        <w:jc w:val="both"/>
        <w:rPr>
          <w:color w:val="000000"/>
        </w:rPr>
      </w:pPr>
      <w:r>
        <w:rPr>
          <w:color w:val="000000"/>
        </w:rPr>
        <w:t>5.7.1. Quando o licitante vencedor não assinar a ata de registro de preços, no prazo e nas condições estabelecidos no edital; e</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5.7.2. Quando houver o cancelamento do registro do licitante ou do registro de preços nas hipóteses previstas no item 9.</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5.8. O preço registrado com indicação dos licitantes e fornecedores será divulgado no PNCP e ficará disponibilizado durante a vigência da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5.9. Após o encerramento da fase de julgamento das propostas, o licitante mais bem classificado, será convocado para enviar a ata de registro de preços devidamente preenchida e assinada, no prazo e nas condições estabelecidos no edital de licitação, sob pena de desclassificação.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5.9.1. 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5.10. A ata de registro de preços será assinada por meio de assinatura digital e disponibilizada no Sistema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5.11. Quando o convocado não assinar a ata de registro de preços no prazo e nas condições estabelecidos no edital,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 Na hipótese de nenhum dos licitantes que trata o item 5.4.2.1, aceitar a contratação nos termos do item anterior, a Administração, observados o valor estimado e sua eventual atualização nos termos do edital, poderá:</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5.12.1. Convocar para negociação os demais licitantes ou fornecedores remanescentes cujos preços foram registrados sem redução, observada a ordem de classificação, com vistas à obtenção de preço melhor, mesmo que acima do preço do adjudicatário;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5.12.2. Adjudicar e firmar o contrato nas condições ofertadas pelos licitantes ou fornecedores remanescentes, atendida a ordem classificatória, quando frustrada a negociação de melhor condição.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ormal"/>
        <w:spacing w:lineRule="auto" w:line="276" w:before="120" w:after="120"/>
        <w:ind w:firstLine="1418"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6. ALTERAÇÃO OU ATUALIZAÇÃO DOS PREÇOS REGISTRADOS (DECRETO Nº 11.462/2023)</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6.1.2. Em caso de criação, alteração ou extinção de quaisquer tributos ou encargos legais ou a superveniência de disposições legais, com comprovada repercussão sobre os preços registrados;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6.1.3. Na hipótese de previsão no edital ou no aviso de contratação direta de cláusula de reajustamento ou repactuação sobre os preços registrados, nos termos da Lei nº 14.133, de 2021.</w:t>
      </w:r>
    </w:p>
    <w:p>
      <w:pPr>
        <w:pStyle w:val="Normal"/>
        <w:spacing w:lineRule="auto" w:line="276" w:before="120" w:after="120"/>
        <w:ind w:start="18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6.1.3.1. No caso do reajustamento, deverá ser respeitada a contagem da anualidade e o índice previstos para a contratação; </w:t>
      </w:r>
    </w:p>
    <w:p>
      <w:pPr>
        <w:pStyle w:val="Normal"/>
        <w:spacing w:lineRule="auto" w:line="276" w:before="120" w:after="120"/>
        <w:ind w:start="18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6.1.3.2. No caso da repactuação, poderá ser a pedido do interessado, conforme critérios definidos para a contratação.</w:t>
      </w:r>
    </w:p>
    <w:p>
      <w:pPr>
        <w:pStyle w:val="Normal"/>
        <w:spacing w:lineRule="auto" w:line="276" w:before="120" w:after="120"/>
        <w:ind w:start="18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7. NEGOCIAÇÃO DE PREÇOS REGISTRADOS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7.1.1. Caso não aceite reduzir seu preço aos valores praticados pelo mercado, o fornecedor será liberado do compromisso assumido quanto ao item registrado, sem aplicação de penalidades administrativas, caso a comunicação ocorra antes do envio da nota de empenho.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bookmarkStart w:id="0" w:name="reducao_preco_mercado_negociacao_frustra"/>
      <w:bookmarkEnd w:id="0"/>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 w:name="hipotese_preco_mercado_maior"/>
      <w:bookmarkEnd w:id="1"/>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7.2.1. Neste caso, o fornecedor encaminhará, juntamente com o pedido de alteração, a documentação comprobatória ou a planilha de custos que demonstre a inviabilidade do preço registrado em relação às condições inicialmente pactuadas.</w:t>
      </w:r>
      <w:bookmarkStart w:id="2" w:name="prova_preco_mercado_maior"/>
      <w:bookmarkEnd w:id="2"/>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3" w:name="nao_comprovacao_majoracao_mercado"/>
      <w:bookmarkEnd w:id="3"/>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5.5.</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bookmarkStart w:id="4" w:name="majora_preco_mercado_negociacao_frustra"/>
      <w:bookmarkEnd w:id="4"/>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 caso a comunicação ocorra antes do envio da nota de empenho.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r>
        <w:rPr>
          <w:rFonts w:eastAsia="Times New Roman" w:cs="Times New Roman" w:ascii="Times New Roman" w:hAnsi="Times New Roman"/>
          <w:color w:val="000000"/>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8. REMANEJAMENTO DAS QUANTIDADES REGISTRADAS NA ATA DE REGISTRO DE PREÇOS </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8.2. O remanejamento somente poderá ser feito: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8.2.1. De órgão ou entidade participante para órgão ou entidade participante;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8.2.2. De órgão ou entidade participante para órgão ou entidade não participante.</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8.3. O órgão ou entidade gerenciadora que tiver estimado as quantidades que pretende contratar será considerado participante para efeito do remanejamento.</w:t>
      </w:r>
      <w:bookmarkStart w:id="5" w:name="gerenciador_estimador_é_partic_em_remane"/>
      <w:bookmarkEnd w:id="5"/>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8.4. Na hipótese de remanejamento de órgão ou entidade participante para órgão ou entidade não participante, serão observados os limites previstos no art. 32 do Decreto nº 11.462, de 2023.</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pPr>
        <w:pStyle w:val="Normal"/>
        <w:spacing w:lineRule="auto" w:line="276" w:beforeAutospacing="1" w:afterAutospacing="1"/>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9. CANCELAMENTO DO REGISTRO DO LICITANTE VENCEDOR E DOS PREÇOS REGISTRADOS</w:t>
      </w:r>
      <w:bookmarkStart w:id="6" w:name="cancelamento"/>
      <w:bookmarkEnd w:id="6"/>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 O registro do fornecedor será cancelado pelo gerenciador, quando o fornecedor:</w:t>
      </w:r>
      <w:bookmarkStart w:id="7" w:name="cancelamento_do_fornecedor"/>
      <w:bookmarkEnd w:id="7"/>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9.1.1. Descumprir as condições da ata de registro de preços, sem motivo justificado;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9.1.2. Não retirar a nota de empenho, ou instrumento equivalente, no prazo estabelecido pela Administração sem justificativa razoável;</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9.1.3. Não aceitar manter seu preço registrado, na hipótese prevista no artigo 27, § 2º, do Decreto nº 11.462, de 2023;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9.1.4. Sofrer sanção prevista nos incisos III ou IV do caput do art. 156 da Lei nº 14.133, de 2021.</w:t>
      </w:r>
    </w:p>
    <w:p>
      <w:pPr>
        <w:pStyle w:val="Normal"/>
        <w:spacing w:lineRule="auto" w:line="276" w:before="120" w:after="120"/>
        <w:ind w:start="12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 Na hipótese de cancelamento do registro do fornecedor, o órgão ou a entidade gerenciadora poderá convocar os licitantes que compõem o cadastro de reserva, observada a ordem de classificação.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9.4.1. Por razão de interesse público;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9.4.2. A pedido do fornecedor, decorrente de caso fortuito ou força maior;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9.4.3. Se não houver êxito nas negociações, nas hipóteses em que o preço de mercado tornar-se superior ou inferior ao preço registrado, nos termos do artigos 26, § 3º e  27, § 4º, ambos do Decreto nº 11.462, de 2023.</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10. DAS PENALIDADES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10.1. O descumprimento da Ata de Registro de Preços ensejará aplicação das penalidades estabelecidas no edital.</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10.1.1. As sanções também se aplicam aos integrantes do cadastro de reserva no registro de preços que, convocados, não honrarem o compromisso assumido injustificadamente após terem assinado 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11. CONDIÇÕES GERAIS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11.1. As condições gerais do fornecimento, tais como os prazos para entrega e recebimento do objeto, as obrigações da Administração e do fornecedor registrado, penalidades e demais condições do ajuste, encontram-se definidos no Termo de Referência, ANEXO AO EDITAL.</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11.2. No caso de adjudicação por preço global de grupo de itens, só será admitida a contratação dos itens para contratação da totalidade dos itens de grupo, respeitadas as proporções de quantitativos definidos no certame.</w:t>
      </w:r>
    </w:p>
    <w:p>
      <w:pPr>
        <w:pStyle w:val="Normal"/>
        <w:spacing w:lineRule="auto" w:line="276" w:before="120" w:after="120"/>
        <w:ind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uto" w:line="276" w:before="0" w:after="0"/>
        <w:rPr>
          <w:rFonts w:ascii="Times New Roman" w:hAnsi="Times New Roman" w:eastAsia="Times New Roman" w:cs="Times New Roman"/>
          <w:sz w:val="24"/>
          <w:szCs w:val="24"/>
          <w:lang w:eastAsia="pt-BR"/>
        </w:rPr>
      </w:pPr>
      <w:r>
        <w:rPr>
          <w:rFonts w:eastAsia="Times New Roman" w:cs="Times New Roman" w:ascii="Times New Roman" w:hAnsi="Times New Roman"/>
          <w:color w:val="000000"/>
          <w:sz w:val="24"/>
          <w:szCs w:val="24"/>
          <w:lang w:eastAsia="pt-BR"/>
        </w:rPr>
        <w:t>Para firmeza e validade do pactuado, a presente Ata foi lavrada, depois de lida e achada em ordem, vai assinada digitalmente pelas partes e encaminhada cópia aos demais órgãos participantes (se houver).</w:t>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_______,__________________.</w:t>
      </w:r>
      <w:bookmarkStart w:id="9" w:name="_GoBack"/>
      <w:bookmarkEnd w:id="9"/>
    </w:p>
    <w:p>
      <w:pPr>
        <w:pStyle w:val="Normal"/>
        <w:spacing w:lineRule="auto" w:line="276" w:before="120" w:after="120"/>
        <w:ind w:start="120" w:end="120"/>
        <w:jc w:val="center"/>
        <w:rPr>
          <w:highlight w:val="none"/>
          <w:shd w:fill="auto" w:val="clear"/>
        </w:rPr>
      </w:pPr>
      <w:r>
        <w:rPr>
          <w:rFonts w:eastAsia="Times New Roman" w:cs="Times New Roman" w:ascii="Times New Roman" w:hAnsi="Times New Roman"/>
          <w:color w:val="000000"/>
          <w:sz w:val="24"/>
          <w:szCs w:val="24"/>
          <w:shd w:fill="auto" w:val="clear"/>
          <w:lang w:eastAsia="pt-BR"/>
        </w:rPr>
        <w:t>(Local e data)</w:t>
      </w:r>
    </w:p>
    <w:p>
      <w:pPr>
        <w:pStyle w:val="Normal"/>
        <w:spacing w:lineRule="auto" w:line="276" w:before="120" w:after="120"/>
        <w:ind w:start="120" w:end="120"/>
        <w:jc w:val="center"/>
        <w:rPr>
          <w:highlight w:val="none"/>
          <w:shd w:fill="auto" w:val="clear"/>
        </w:rPr>
      </w:pPr>
      <w:r>
        <w:rPr>
          <w:rFonts w:eastAsia="Times New Roman" w:cs="Times New Roman" w:ascii="Times New Roman" w:hAnsi="Times New Roman"/>
          <w:b/>
          <w:bCs/>
          <w:color w:val="000000"/>
          <w:sz w:val="24"/>
          <w:szCs w:val="24"/>
          <w:shd w:fill="auto" w:val="clear"/>
          <w:lang w:eastAsia="pt-BR"/>
        </w:rPr>
        <w:t>Assinaturas</w:t>
      </w:r>
    </w:p>
    <w:p>
      <w:pPr>
        <w:pStyle w:val="Normal"/>
        <w:spacing w:lineRule="auto" w:line="276" w:before="120" w:after="120"/>
        <w:ind w:start="120" w:end="120"/>
        <w:jc w:val="center"/>
        <w:rPr>
          <w:rFonts w:ascii="Times New Roman" w:hAnsi="Times New Roman" w:eastAsia="Times New Roman" w:cs="Times New Roman"/>
          <w:color w:val="000000"/>
          <w:sz w:val="24"/>
          <w:szCs w:val="24"/>
          <w:highlight w:val="none"/>
          <w:shd w:fill="auto" w:val="clear"/>
          <w:lang w:eastAsia="pt-BR"/>
        </w:rPr>
      </w:pPr>
      <w:r>
        <w:rPr>
          <w:rFonts w:eastAsia="Times New Roman" w:cs="Times New Roman" w:ascii="Times New Roman" w:hAnsi="Times New Roman"/>
          <w:color w:val="000000"/>
          <w:sz w:val="24"/>
          <w:szCs w:val="24"/>
          <w:shd w:fill="auto" w:val="clear"/>
          <w:lang w:eastAsia="pt-BR"/>
        </w:rPr>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r>
        <w:rPr>
          <w:rFonts w:eastAsia="Times New Roman" w:cs="Times New Roman" w:ascii="Times New Roman" w:hAnsi="Times New Roman"/>
          <w:color w:val="000000"/>
          <w:sz w:val="24"/>
          <w:szCs w:val="24"/>
          <w:lang w:eastAsia="pt-BR"/>
        </w:rPr>
        <w:t>Representante legal do órgão gerenciador e representante(s) legal(is) do(s) fornecedor(s) registrado(s)</w:t>
      </w:r>
    </w:p>
    <w:sectPr>
      <w:type w:val="nextPage"/>
      <w:pgSz w:w="11906" w:h="16838"/>
      <w:pgMar w:left="1701" w:right="1558"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Liberation Sans">
    <w:altName w:val="Arial"/>
    <w:charset w:val="00" w:characterSet="windows-1252"/>
    <w:family w:val="swiss"/>
    <w:pitch w:val="variable"/>
  </w:font>
  <w:font w:name="Tahoma">
    <w:charset w:val="00" w:characterSet="windows-1252"/>
    <w:family w:val="swiss"/>
    <w:pitch w:val="variable"/>
  </w:font>
  <w:font w:name="Calibri">
    <w:charset w:val="00" w:characterSet="windows-1252"/>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0" w:hanging="0"/>
      </w:pPr>
      <w:rPr/>
    </w:lvl>
    <w:lvl w:ilvl="1">
      <w:start w:val="1"/>
      <w:numFmt w:val="lowerLetter"/>
      <w:lvlText w:val="%2."/>
      <w:lvlJc w:val="start"/>
      <w:pPr>
        <w:tabs>
          <w:tab w:val="num" w:pos="0"/>
        </w:tabs>
        <w:ind w:start="1560" w:hanging="360"/>
      </w:pPr>
      <w:rPr/>
    </w:lvl>
    <w:lvl w:ilvl="2">
      <w:start w:val="1"/>
      <w:numFmt w:val="lowerRoman"/>
      <w:lvlText w:val="%3."/>
      <w:lvlJc w:val="end"/>
      <w:pPr>
        <w:tabs>
          <w:tab w:val="num" w:pos="0"/>
        </w:tabs>
        <w:ind w:start="2280" w:hanging="180"/>
      </w:pPr>
      <w:rPr/>
    </w:lvl>
    <w:lvl w:ilvl="3">
      <w:start w:val="1"/>
      <w:numFmt w:val="decimal"/>
      <w:lvlText w:val="%4."/>
      <w:lvlJc w:val="start"/>
      <w:pPr>
        <w:tabs>
          <w:tab w:val="num" w:pos="0"/>
        </w:tabs>
        <w:ind w:start="3000" w:hanging="360"/>
      </w:pPr>
      <w:rPr/>
    </w:lvl>
    <w:lvl w:ilvl="4">
      <w:start w:val="1"/>
      <w:numFmt w:val="lowerLetter"/>
      <w:lvlText w:val="%5."/>
      <w:lvlJc w:val="start"/>
      <w:pPr>
        <w:tabs>
          <w:tab w:val="num" w:pos="0"/>
        </w:tabs>
        <w:ind w:start="3720" w:hanging="360"/>
      </w:pPr>
      <w:rPr/>
    </w:lvl>
    <w:lvl w:ilvl="5">
      <w:start w:val="1"/>
      <w:numFmt w:val="lowerRoman"/>
      <w:lvlText w:val="%6."/>
      <w:lvlJc w:val="end"/>
      <w:pPr>
        <w:tabs>
          <w:tab w:val="num" w:pos="0"/>
        </w:tabs>
        <w:ind w:start="4440" w:hanging="180"/>
      </w:pPr>
      <w:rPr/>
    </w:lvl>
    <w:lvl w:ilvl="6">
      <w:start w:val="1"/>
      <w:numFmt w:val="decimal"/>
      <w:lvlText w:val="%7."/>
      <w:lvlJc w:val="start"/>
      <w:pPr>
        <w:tabs>
          <w:tab w:val="num" w:pos="0"/>
        </w:tabs>
        <w:ind w:start="5160" w:hanging="360"/>
      </w:pPr>
      <w:rPr/>
    </w:lvl>
    <w:lvl w:ilvl="7">
      <w:start w:val="1"/>
      <w:numFmt w:val="lowerLetter"/>
      <w:lvlText w:val="%8."/>
      <w:lvlJc w:val="start"/>
      <w:pPr>
        <w:tabs>
          <w:tab w:val="num" w:pos="0"/>
        </w:tabs>
        <w:ind w:start="5880" w:hanging="360"/>
      </w:pPr>
      <w:rPr/>
    </w:lvl>
    <w:lvl w:ilvl="8">
      <w:start w:val="1"/>
      <w:numFmt w:val="lowerRoman"/>
      <w:lvlText w:val="%9."/>
      <w:lvlJc w:val="end"/>
      <w:pPr>
        <w:tabs>
          <w:tab w:val="num" w:pos="0"/>
        </w:tabs>
        <w:ind w:start="6600" w:hanging="18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1b4e4c"/>
    <w:rPr>
      <w:b/>
      <w:bCs/>
    </w:rPr>
  </w:style>
  <w:style w:type="character" w:styleId="Emphasis">
    <w:name w:val="Emphasis"/>
    <w:basedOn w:val="DefaultParagraphFont"/>
    <w:uiPriority w:val="20"/>
    <w:qFormat/>
    <w:rsid w:val="001b4e4c"/>
    <w:rPr>
      <w:i/>
      <w:iCs/>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extocentralizadomaiusculasnegritosemespacame" w:customStyle="1">
    <w:name w:val="texto_centralizado_maiusculas_negrito_sem_espacame"/>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textojustificadorecuoprimeiralinha" w:customStyle="1">
    <w:name w:val="texto_justificado_recuo_primeira_linha"/>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2" w:customStyle="1">
    <w:name w:val="item_nivel2"/>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NormalWeb">
    <w:name w:val="Normal (Web)"/>
    <w:basedOn w:val="Normal"/>
    <w:uiPriority w:val="99"/>
    <w:semiHidden/>
    <w:unhideWhenUsed/>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textojustificado" w:customStyle="1">
    <w:name w:val="texto_justificado"/>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3" w:customStyle="1">
    <w:name w:val="item_nivel3"/>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5" w:customStyle="1">
    <w:name w:val="item_nivel5"/>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4" w:customStyle="1">
    <w:name w:val="item_nivel4"/>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textocentralizado" w:customStyle="1">
    <w:name w:val="texto_centralizado"/>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ListParagraph">
    <w:name w:val="List Paragraph"/>
    <w:basedOn w:val="Normal"/>
    <w:uiPriority w:val="34"/>
    <w:qFormat/>
    <w:rsid w:val="001b4e4c"/>
    <w:pPr>
      <w:spacing w:before="0" w:after="160"/>
      <w:ind w:start="720"/>
      <w:contextualSpacing/>
    </w:pPr>
    <w:rPr/>
  </w:style>
  <w:style w:type="paragraph" w:styleId="Default" w:customStyle="1">
    <w:name w:val="Default"/>
    <w:qFormat/>
    <w:rsid w:val="00df7662"/>
    <w:pPr>
      <w:widowControl/>
      <w:bidi w:val="0"/>
      <w:spacing w:lineRule="auto" w:line="240" w:before="0" w:after="0"/>
      <w:jc w:val="start"/>
    </w:pPr>
    <w:rPr>
      <w:rFonts w:ascii="Tahoma" w:hAnsi="Tahoma" w:cs="Tahoma" w:eastAsia="Calibri"/>
      <w:color w:val="000000"/>
      <w:kern w:val="0"/>
      <w:sz w:val="24"/>
      <w:szCs w:val="24"/>
      <w:lang w:val="pt-BR" w:eastAsia="en-US" w:bidi="ar-SA"/>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TotalTime>
  <Application>LibreOffice/26.2.4.2$Windows_X86_64 LibreOffice_project/0229ac93fcf0d7cbc6376066c6f35021cef002dc</Application>
  <AppVersion>15.0000</AppVersion>
  <Pages>9</Pages>
  <Words>3129</Words>
  <Characters>17309</Characters>
  <CharactersWithSpaces>20338</CharactersWithSpaces>
  <Paragraphs>127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2025-08-25T17:15:00Z</dcterms:created>
  <dc:creator>Ana Cpl</dc:creator>
  <dc:description/>
  <dc:language>pt-BR</dc:language>
  <cp:lastModifiedBy/>
  <dcterms:modified xsi:type="dcterms:W3CDTF">2026-07-27T13:55:42Z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